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jc w:val="center"/>
        <w:tblLook w:val="01E0" w:firstRow="1" w:lastRow="1" w:firstColumn="1" w:lastColumn="1" w:noHBand="0" w:noVBand="0"/>
      </w:tblPr>
      <w:tblGrid>
        <w:gridCol w:w="3085"/>
        <w:gridCol w:w="6237"/>
      </w:tblGrid>
      <w:tr w:rsidR="00CF44AD">
        <w:trPr>
          <w:jc w:val="center"/>
        </w:trPr>
        <w:tc>
          <w:tcPr>
            <w:tcW w:w="3085" w:type="dxa"/>
          </w:tcPr>
          <w:p w:rsidR="00CF44AD" w:rsidRDefault="001223B6" w:rsidP="00834EB2">
            <w:pPr>
              <w:jc w:val="center"/>
              <w:rPr>
                <w:b/>
                <w:sz w:val="26"/>
                <w:szCs w:val="26"/>
              </w:rPr>
            </w:pPr>
            <w:r>
              <w:rPr>
                <w:b/>
                <w:sz w:val="26"/>
                <w:szCs w:val="26"/>
              </w:rPr>
              <w:t>ỦY BAN NHÂN DÂN</w:t>
            </w:r>
          </w:p>
          <w:p w:rsidR="00CF44AD" w:rsidRPr="00AC5A27" w:rsidRDefault="0016315C" w:rsidP="00834EB2">
            <w:pPr>
              <w:jc w:val="center"/>
              <w:rPr>
                <w:sz w:val="26"/>
                <w:szCs w:val="26"/>
                <w:lang w:val="vi-VN"/>
              </w:rPr>
            </w:pPr>
            <w:r>
              <w:rPr>
                <w:b/>
                <w:sz w:val="26"/>
                <w:szCs w:val="26"/>
                <w:lang w:val="vi-VN"/>
              </w:rPr>
              <w:t>XÃ</w:t>
            </w:r>
            <w:r w:rsidR="00AC5A27">
              <w:rPr>
                <w:b/>
                <w:sz w:val="26"/>
                <w:szCs w:val="26"/>
              </w:rPr>
              <w:t xml:space="preserve"> </w:t>
            </w:r>
            <w:r w:rsidR="00AC5A27">
              <w:rPr>
                <w:b/>
                <w:sz w:val="26"/>
                <w:szCs w:val="26"/>
                <w:lang w:val="vi-VN"/>
              </w:rPr>
              <w:t>ÍCH HẬU</w:t>
            </w:r>
          </w:p>
          <w:p w:rsidR="00CF44AD" w:rsidRPr="00834EB2" w:rsidRDefault="001223B6" w:rsidP="00834EB2">
            <w:pPr>
              <w:spacing w:before="180"/>
              <w:jc w:val="center"/>
              <w:rPr>
                <w:sz w:val="44"/>
              </w:rPr>
            </w:pPr>
            <w:r>
              <w:rPr>
                <w:noProof/>
                <w:sz w:val="44"/>
              </w:rPr>
              <mc:AlternateContent>
                <mc:Choice Requires="wps">
                  <w:drawing>
                    <wp:anchor distT="0" distB="0" distL="114300" distR="114300" simplePos="0" relativeHeight="251660288" behindDoc="0" locked="0" layoutInCell="1" allowOverlap="1" wp14:anchorId="4BDA3EF6" wp14:editId="0EAE4F31">
                      <wp:simplePos x="0" y="0"/>
                      <wp:positionH relativeFrom="column">
                        <wp:posOffset>634365</wp:posOffset>
                      </wp:positionH>
                      <wp:positionV relativeFrom="paragraph">
                        <wp:posOffset>62230</wp:posOffset>
                      </wp:positionV>
                      <wp:extent cx="4667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8CE0E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95pt,4.9pt" to="86.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hktAEAALYDAAAOAAAAZHJzL2Uyb0RvYy54bWysU8GO0zAQvSPxD5bvNG0EBUVN99AVXBBU&#10;LHyA1xk3FrbHGpum/XvGbptFgBBCXByP/d6beePJ5u7knTgCJYuhl6vFUgoIGgcbDr388vntizdS&#10;pKzCoBwG6OUZkrzbPn+2mWIHLY7oBiDBIiF1U+zlmHPsmibpEbxKC4wQ+NIgeZU5pEMzkJpY3bum&#10;XS7XzYQ0REINKfHp/eVSbqu+MaDzR2MSZOF6ybXlulJdH8vabDeqO5CKo9XXMtQ/VOGVDZx0lrpX&#10;WYlvZH+R8lYTJjR5odE3aIzVUD2wm9XyJzcPo4pQvXBzUpzblP6frP5w3JOwQy9bKYLy/EQPmZQ9&#10;jFnsMARuIJJoS5+mmDqG78KerlGKeyqmT4Z8+bIdcaq9Pc+9hVMWmg9frtev21dS6NtV88SLlPI7&#10;QC/KppfOhuJader4PmXOxdAbhINSxyVz3eWzgwJ24RMYdsK5VpVdZwh2jsRR8esPX1fFBWtVZKEY&#10;69xMWv6ZdMUWGtS5+lvijK4ZMeSZ6G1A+l3WfLqVai74m+uL12L7EYdzfYfaDh6O6uw6yGX6fowr&#10;/el3234HAAD//wMAUEsDBBQABgAIAAAAIQC4T7KA2wAAAAYBAAAPAAAAZHJzL2Rvd25yZXYueG1s&#10;TI/NTsMwEITvSLyDtUjcqENBhaRxqqoSQlwQTendjbdOwD+R7aTh7dlyKafVaEaz35SryRo2Yoid&#10;dwLuZxkwdI1XndMCPncvd8/AYpJOSeMdCvjBCKvq+qqUhfInt8WxTppRiYuFFNCm1Becx6ZFK+PM&#10;9+jIO/pgZSIZNFdBnqjcGj7PsgW3snP0oZU9blpsvuvBCjBvYdzrjV7H4XW7qL8+jvP33SjE7c20&#10;XgJLOKVLGM74hA4VMR384FRkRkCe55SkSwPO9tPDI7DDn+ZVyf/jV78AAAD//wMAUEsBAi0AFAAG&#10;AAgAAAAhALaDOJL+AAAA4QEAABMAAAAAAAAAAAAAAAAAAAAAAFtDb250ZW50X1R5cGVzXS54bWxQ&#10;SwECLQAUAAYACAAAACEAOP0h/9YAAACUAQAACwAAAAAAAAAAAAAAAAAvAQAAX3JlbHMvLnJlbHNQ&#10;SwECLQAUAAYACAAAACEAnpVIZLQBAAC2AwAADgAAAAAAAAAAAAAAAAAuAgAAZHJzL2Uyb0RvYy54&#10;bWxQSwECLQAUAAYACAAAACEAuE+ygNsAAAAGAQAADwAAAAAAAAAAAAAAAAAOBAAAZHJzL2Rvd25y&#10;ZXYueG1sUEsFBgAAAAAEAAQA8wAAABYFAAAAAA==&#10;" strokecolor="black [3200]" strokeweight=".5pt">
                      <v:stroke joinstyle="miter"/>
                    </v:line>
                  </w:pict>
                </mc:Fallback>
              </mc:AlternateContent>
            </w:r>
            <w:r>
              <w:rPr>
                <w:sz w:val="26"/>
                <w:szCs w:val="26"/>
              </w:rPr>
              <w:t xml:space="preserve">Số:  </w:t>
            </w:r>
            <w:r w:rsidR="00FF39CB">
              <w:rPr>
                <w:sz w:val="26"/>
                <w:szCs w:val="26"/>
                <w:lang w:val="vi-VN"/>
              </w:rPr>
              <w:t>17</w:t>
            </w:r>
            <w:r>
              <w:rPr>
                <w:sz w:val="26"/>
                <w:szCs w:val="26"/>
              </w:rPr>
              <w:t>/KH-UBND</w:t>
            </w:r>
          </w:p>
        </w:tc>
        <w:tc>
          <w:tcPr>
            <w:tcW w:w="6237" w:type="dxa"/>
          </w:tcPr>
          <w:p w:rsidR="00CF44AD" w:rsidRDefault="001223B6" w:rsidP="00834EB2">
            <w:pPr>
              <w:jc w:val="center"/>
              <w:rPr>
                <w:b/>
                <w:sz w:val="26"/>
                <w:szCs w:val="26"/>
              </w:rPr>
            </w:pPr>
            <w:r>
              <w:rPr>
                <w:b/>
                <w:sz w:val="26"/>
                <w:szCs w:val="26"/>
              </w:rPr>
              <w:t>CỘNG HÒA XÃ HỘI CHỦ NGHĨA VIỆT NAM</w:t>
            </w:r>
          </w:p>
          <w:p w:rsidR="00CF44AD" w:rsidRDefault="001223B6" w:rsidP="00834EB2">
            <w:pPr>
              <w:jc w:val="center"/>
              <w:rPr>
                <w:i/>
              </w:rPr>
            </w:pPr>
            <w:r>
              <w:rPr>
                <w:b/>
              </w:rPr>
              <w:t>Độc lập - Tự do - Hạnh phúc</w:t>
            </w:r>
          </w:p>
          <w:p w:rsidR="00CF44AD" w:rsidRPr="00834EB2" w:rsidRDefault="001223B6" w:rsidP="00834EB2">
            <w:pPr>
              <w:spacing w:before="180"/>
              <w:jc w:val="center"/>
              <w:rPr>
                <w:i/>
                <w:sz w:val="40"/>
              </w:rPr>
            </w:pPr>
            <w:r>
              <w:rPr>
                <w:i/>
                <w:noProof/>
                <w:sz w:val="40"/>
              </w:rPr>
              <mc:AlternateContent>
                <mc:Choice Requires="wps">
                  <w:drawing>
                    <wp:anchor distT="0" distB="0" distL="114300" distR="114300" simplePos="0" relativeHeight="251661312" behindDoc="0" locked="0" layoutInCell="1" allowOverlap="1" wp14:anchorId="2B4F873D" wp14:editId="2503F9A4">
                      <wp:simplePos x="0" y="0"/>
                      <wp:positionH relativeFrom="column">
                        <wp:posOffset>853572</wp:posOffset>
                      </wp:positionH>
                      <wp:positionV relativeFrom="paragraph">
                        <wp:posOffset>50740</wp:posOffset>
                      </wp:positionV>
                      <wp:extent cx="2084537"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20845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D0CA0E"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2pt,4pt" to="231.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U7tgEAALcDAAAOAAAAZHJzL2Uyb0RvYy54bWysU02P0zAQvSPxHyzfadJCYRU13UNXcEFQ&#10;sfADvM64sbA91tj0498zdtssAoTQai+Ox37vzbzxZHV79E7sgZLF0Mv5rJUCgsbBhl0vv319/+pG&#10;ipRVGJTDAL08QZK365cvVofYwQJHdAOQYJGQukPs5Zhz7Jom6RG8SjOMEPjSIHmVOaRdM5A6sLp3&#10;zaJt3zYHpCESakiJT+/Ol3Jd9Y0BnT8bkyAL10uuLdeV6vpQ1ma9Ut2OVBytvpShnlCFVzZw0knq&#10;TmUlfpD9Q8pbTZjQ5JlG36AxVkP1wG7m7W9u7kcVoXrh5qQ4tSk9n6z+tN+SsEMvl1IE5fmJ7jMp&#10;uxuz2GAI3EAksSx9OsTUMXwTtnSJUtxSMX005MuX7Yhj7e1p6i0cs9B8uGhv3ixfv5NCX++aR2Kk&#10;lD8AelE2vXQ2FNuqU/uPKXMyhl4hHJRCzqnrLp8cFLALX8CwFU42r+w6RLBxJPaKn3/4Pi82WKsi&#10;C8VY5yZS+2/SBVtoUAfrf4kTumbEkCeitwHpb1nz8VqqOeOvrs9ei+0HHE71IWo7eDqqs8skl/H7&#10;Na70x/9t/RMAAP//AwBQSwMEFAAGAAgAAAAhAHI5hQLbAAAABwEAAA8AAABkcnMvZG93bnJldi54&#10;bWxMj8tOwzAQRfdI/IM1SOyoQ4hCFeJUVSWE2CCawt6Np07Aj8h20vD3DGxgeXSv7pypN4s1bMYQ&#10;B+8E3K4yYOg6rwanBbwdHm/WwGKSTknjHQr4wgib5vKilpXyZ7fHuU2a0YiLlRTQpzRWnMeuRyvj&#10;yo/oKDv5YGUiDJqrIM80bg3Ps6zkVg6OLvRyxF2P3Wc7WQHmOczveqe3cXral+3H6yl/OcxCXF8t&#10;2wdgCZf0V4YffVKHhpyOfnIqMkN8VxRUFbCmlygvyvwe2PGXeVPz//7NNwAAAP//AwBQSwECLQAU&#10;AAYACAAAACEAtoM4kv4AAADhAQAAEwAAAAAAAAAAAAAAAAAAAAAAW0NvbnRlbnRfVHlwZXNdLnht&#10;bFBLAQItABQABgAIAAAAIQA4/SH/1gAAAJQBAAALAAAAAAAAAAAAAAAAAC8BAABfcmVscy8ucmVs&#10;c1BLAQItABQABgAIAAAAIQDOboU7tgEAALcDAAAOAAAAAAAAAAAAAAAAAC4CAABkcnMvZTJvRG9j&#10;LnhtbFBLAQItABQABgAIAAAAIQByOYUC2wAAAAcBAAAPAAAAAAAAAAAAAAAAABAEAABkcnMvZG93&#10;bnJldi54bWxQSwUGAAAAAAQABADzAAAAGAUAAAAA&#10;" strokecolor="black [3200]" strokeweight=".5pt">
                      <v:stroke joinstyle="miter"/>
                    </v:line>
                  </w:pict>
                </mc:Fallback>
              </mc:AlternateContent>
            </w:r>
            <w:r w:rsidR="00AC5A27">
              <w:rPr>
                <w:i/>
              </w:rPr>
              <w:t>Í</w:t>
            </w:r>
            <w:r w:rsidR="00AC5A27">
              <w:rPr>
                <w:i/>
                <w:lang w:val="vi-VN"/>
              </w:rPr>
              <w:t xml:space="preserve">ch </w:t>
            </w:r>
            <w:r w:rsidR="005D79AB">
              <w:rPr>
                <w:i/>
                <w:lang w:val="vi-VN"/>
              </w:rPr>
              <w:t>Hậu</w:t>
            </w:r>
            <w:r w:rsidR="00FF39CB">
              <w:rPr>
                <w:i/>
              </w:rPr>
              <w:t>, ngày 15</w:t>
            </w:r>
            <w:r>
              <w:rPr>
                <w:i/>
              </w:rPr>
              <w:t xml:space="preserve"> </w:t>
            </w:r>
            <w:bookmarkStart w:id="0" w:name="_GoBack"/>
            <w:bookmarkEnd w:id="0"/>
            <w:r>
              <w:rPr>
                <w:i/>
              </w:rPr>
              <w:t xml:space="preserve"> tháng </w:t>
            </w:r>
            <w:r w:rsidR="00834EB2">
              <w:rPr>
                <w:i/>
              </w:rPr>
              <w:t>3</w:t>
            </w:r>
            <w:r>
              <w:rPr>
                <w:i/>
              </w:rPr>
              <w:t xml:space="preserve"> năm 2023</w:t>
            </w:r>
          </w:p>
        </w:tc>
      </w:tr>
    </w:tbl>
    <w:p w:rsidR="00CF44AD" w:rsidRPr="00A90EE7" w:rsidRDefault="001223B6">
      <w:pPr>
        <w:rPr>
          <w:b/>
          <w:sz w:val="12"/>
        </w:rPr>
      </w:pPr>
      <w:r>
        <w:rPr>
          <w:b/>
        </w:rPr>
        <w:tab/>
      </w:r>
      <w:r>
        <w:rPr>
          <w:b/>
        </w:rPr>
        <w:tab/>
      </w:r>
      <w:r>
        <w:rPr>
          <w:b/>
        </w:rPr>
        <w:tab/>
      </w:r>
    </w:p>
    <w:p w:rsidR="00CF44AD" w:rsidRDefault="001223B6">
      <w:pPr>
        <w:spacing w:before="240"/>
        <w:jc w:val="center"/>
        <w:rPr>
          <w:b/>
        </w:rPr>
      </w:pPr>
      <w:r>
        <w:rPr>
          <w:b/>
        </w:rPr>
        <w:t>KẾ HOẠCH</w:t>
      </w:r>
    </w:p>
    <w:p w:rsidR="00CF44AD" w:rsidRDefault="00A90EE7">
      <w:pPr>
        <w:spacing w:after="120"/>
        <w:jc w:val="center"/>
        <w:rPr>
          <w:b/>
        </w:rPr>
      </w:pPr>
      <w:r>
        <w:rPr>
          <w:rFonts w:ascii="Times New Roman Bold" w:hAnsi="Times New Roman Bold"/>
          <w:b/>
          <w:noProof/>
          <w:sz w:val="12"/>
        </w:rPr>
        <mc:AlternateContent>
          <mc:Choice Requires="wps">
            <w:drawing>
              <wp:anchor distT="0" distB="0" distL="114300" distR="114300" simplePos="0" relativeHeight="251659264" behindDoc="0" locked="0" layoutInCell="1" allowOverlap="1" wp14:anchorId="629C450A" wp14:editId="2011768A">
                <wp:simplePos x="0" y="0"/>
                <wp:positionH relativeFrom="column">
                  <wp:posOffset>2288540</wp:posOffset>
                </wp:positionH>
                <wp:positionV relativeFrom="paragraph">
                  <wp:posOffset>231140</wp:posOffset>
                </wp:positionV>
                <wp:extent cx="1224280" cy="0"/>
                <wp:effectExtent l="0" t="0" r="13970" b="1905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7C219"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2pt,18.2pt" to="276.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vDk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QhL3&#10;0KK9M5i3nUOVkhIEVAbNvE6DtgWEV3JnfKXkLPf6WZHvFklVdVi2LPB9vWgASX1G/CbFb6yG2w7D&#10;F0UhBh+dCqKdG9N7SJADnUNvLvfesLNDBA7TLMuzBbSQjL4YF2OiNtZ9ZqpH3igjwaWXDRf49Gyd&#10;J4KLMcQfS7XlQoTWC4mGMlrOsllIsEpw6p0+zJr2UAmDTtgPT/hCVeB5DDPqKGkA6ximm5vtMBdX&#10;Gy4X0uNBKUDnZl2n48cyWW4Wm0U+ybP5ZpIndT35tK3yyXybfpzVH+qqqtOfnlqaFx2nlEnPbpzU&#10;NP+7Sbi9meuM3Wf1LkP8Fj3oBWTHfyAdeunbdx2Eg6KXnRl7DMMZgm8PyU//4x7sx+e+/gUAAP//&#10;AwBQSwMEFAAGAAgAAAAhAMJLDRvcAAAACQEAAA8AAABkcnMvZG93bnJldi54bWxMj81OwzAQhO9I&#10;vIO1SFwq6pDQCoU4FQJy40IBcd3GSxIRr9PYbQNPz1Y9wGn/RjPfFqvJ9WpPY+g8G7ieJ6CIa287&#10;bgy8vVZXt6BCRLbYeyYD3xRgVZ6fFZhbf+AX2q9jo8SEQ44G2hiHXOtQt+QwzP1ALLdPPzqMMo6N&#10;tiMexNz1Ok2SpXbYsSS0ONBDS/XXeucMhOqdttXPrJ4lH1njKd0+Pj+hMZcX0/0dqEhT/BPDEV/Q&#10;oRSmjd+xDao3kC2TG5EeG6kiWCyyFNTmtNBlof9/UP4CAAD//wMAUEsBAi0AFAAGAAgAAAAhALaD&#10;OJL+AAAA4QEAABMAAAAAAAAAAAAAAAAAAAAAAFtDb250ZW50X1R5cGVzXS54bWxQSwECLQAUAAYA&#10;CAAAACEAOP0h/9YAAACUAQAACwAAAAAAAAAAAAAAAAAvAQAAX3JlbHMvLnJlbHNQSwECLQAUAAYA&#10;CAAAACEAelLw5BwCAAA2BAAADgAAAAAAAAAAAAAAAAAuAgAAZHJzL2Uyb0RvYy54bWxQSwECLQAU&#10;AAYACAAAACEAwksNG9wAAAAJAQAADwAAAAAAAAAAAAAAAAB2BAAAZHJzL2Rvd25yZXYueG1sUEsF&#10;BgAAAAAEAAQA8wAAAH8FAAAAAA==&#10;"/>
            </w:pict>
          </mc:Fallback>
        </mc:AlternateContent>
      </w:r>
      <w:r w:rsidR="001223B6">
        <w:rPr>
          <w:b/>
        </w:rPr>
        <w:t>Thực hiện nhiệm vụ công tác tư pháp năm 2023</w:t>
      </w:r>
    </w:p>
    <w:p w:rsidR="00CF44AD" w:rsidRDefault="00CF44AD">
      <w:pPr>
        <w:jc w:val="center"/>
        <w:rPr>
          <w:rFonts w:ascii="Times New Roman Bold" w:hAnsi="Times New Roman Bold"/>
          <w:b/>
          <w:sz w:val="12"/>
        </w:rPr>
      </w:pPr>
    </w:p>
    <w:p w:rsidR="00CF44AD" w:rsidRDefault="00CF44AD">
      <w:pPr>
        <w:tabs>
          <w:tab w:val="left" w:pos="3922"/>
          <w:tab w:val="center" w:pos="4394"/>
        </w:tabs>
        <w:spacing w:before="80" w:after="80"/>
        <w:rPr>
          <w:b/>
          <w:sz w:val="2"/>
        </w:rPr>
      </w:pPr>
    </w:p>
    <w:p w:rsidR="00CF44AD" w:rsidRDefault="00AC5A27" w:rsidP="005361C3">
      <w:pPr>
        <w:widowControl w:val="0"/>
        <w:spacing w:before="120" w:line="288" w:lineRule="auto"/>
        <w:ind w:firstLine="720"/>
        <w:jc w:val="both"/>
        <w:rPr>
          <w:spacing w:val="-4"/>
        </w:rPr>
      </w:pPr>
      <w:r>
        <w:rPr>
          <w:spacing w:val="-4"/>
        </w:rPr>
        <w:t>Thực hiện Kế hoạch số      /KH-UBND ngày    /03/2023 của UBND huyện</w:t>
      </w:r>
      <w:r w:rsidR="001223B6">
        <w:rPr>
          <w:spacing w:val="-4"/>
        </w:rPr>
        <w:t xml:space="preserve"> về thực hiện nhiệm vụ công tác Tư pháp năm 2023, </w:t>
      </w:r>
      <w:r w:rsidR="001223B6">
        <w:t>căn cứ tìn</w:t>
      </w:r>
      <w:r>
        <w:t>h hình thực tế tại địa bàn xã</w:t>
      </w:r>
      <w:r w:rsidR="001223B6">
        <w:t>,</w:t>
      </w:r>
      <w:r>
        <w:rPr>
          <w:spacing w:val="-4"/>
        </w:rPr>
        <w:t xml:space="preserve"> UBND xã</w:t>
      </w:r>
      <w:r w:rsidR="001223B6">
        <w:rPr>
          <w:spacing w:val="-4"/>
        </w:rPr>
        <w:t xml:space="preserve"> ban hành Kế hoạch thực hiện nhiệm vụ công tác Tư pháp năm 2023 với các nội dung cụ thể sau đây</w:t>
      </w:r>
    </w:p>
    <w:p w:rsidR="00CF44AD" w:rsidRDefault="001223B6" w:rsidP="005361C3">
      <w:pPr>
        <w:widowControl w:val="0"/>
        <w:spacing w:before="120" w:line="288" w:lineRule="auto"/>
        <w:ind w:firstLine="720"/>
        <w:jc w:val="both"/>
        <w:rPr>
          <w:rFonts w:eastAsia="Calibri"/>
          <w:b/>
          <w:sz w:val="26"/>
          <w:szCs w:val="26"/>
        </w:rPr>
      </w:pPr>
      <w:r>
        <w:rPr>
          <w:rFonts w:eastAsia="Calibri"/>
          <w:b/>
          <w:sz w:val="26"/>
          <w:szCs w:val="26"/>
        </w:rPr>
        <w:t>I. MỤC ĐÍCH, YÊU CẦU</w:t>
      </w:r>
    </w:p>
    <w:p w:rsidR="00CF44AD" w:rsidRDefault="001223B6" w:rsidP="005361C3">
      <w:pPr>
        <w:widowControl w:val="0"/>
        <w:spacing w:before="120" w:line="288" w:lineRule="auto"/>
        <w:ind w:firstLine="720"/>
        <w:jc w:val="both"/>
        <w:rPr>
          <w:spacing w:val="-2"/>
        </w:rPr>
      </w:pPr>
      <w:r>
        <w:rPr>
          <w:spacing w:val="-2"/>
        </w:rPr>
        <w:t>1. Xác định, tập trung thực hiện nhiệm vụ công tác tư pháp năm 2023 bằng các nhiệm vụ, giải pháp cụ thể nhằm tổ chức, triển khai thực hiện công tác tư pháp đạt kết quả cao</w:t>
      </w:r>
      <w:r w:rsidR="00FB7D89">
        <w:rPr>
          <w:spacing w:val="-2"/>
        </w:rPr>
        <w:t xml:space="preserve"> nhất theo chỉ đạo của UBND huyện và </w:t>
      </w:r>
      <w:r w:rsidR="00FB7D89">
        <w:rPr>
          <w:spacing w:val="-2"/>
          <w:lang w:val="vi-VN"/>
        </w:rPr>
        <w:t>Phòng</w:t>
      </w:r>
      <w:r>
        <w:rPr>
          <w:spacing w:val="-2"/>
        </w:rPr>
        <w:t xml:space="preserve"> Tư pháp.</w:t>
      </w:r>
    </w:p>
    <w:p w:rsidR="00CF44AD" w:rsidRDefault="001223B6" w:rsidP="005361C3">
      <w:pPr>
        <w:widowControl w:val="0"/>
        <w:spacing w:before="120" w:line="288" w:lineRule="auto"/>
        <w:ind w:firstLine="720"/>
        <w:jc w:val="both"/>
      </w:pPr>
      <w:r>
        <w:t>2. Tiếp tục tạo chuyển biến rõ rệt về chất lượng, hiệu quả công tác tổ chức và h</w:t>
      </w:r>
      <w:r w:rsidR="00FB7D89">
        <w:t>oạt động của ngành Tư pháp xã</w:t>
      </w:r>
      <w:r>
        <w:t>. Nâng cao vai trò, trách nhiệm trong công tác tham mưu, chỉ đạo, điều hành, quản lý Nhà nước trên các lĩnh vực và tăng cường mối quan hệ phối hợp giữa các cấp, các ngành trong triển khai công tác tư pháp.</w:t>
      </w:r>
    </w:p>
    <w:p w:rsidR="00CF44AD" w:rsidRPr="001330F1" w:rsidRDefault="001223B6" w:rsidP="005361C3">
      <w:pPr>
        <w:widowControl w:val="0"/>
        <w:spacing w:before="120" w:line="288" w:lineRule="auto"/>
        <w:ind w:firstLine="720"/>
        <w:jc w:val="both"/>
        <w:rPr>
          <w:spacing w:val="-4"/>
        </w:rPr>
      </w:pPr>
      <w:r w:rsidRPr="001330F1">
        <w:rPr>
          <w:spacing w:val="-4"/>
        </w:rPr>
        <w:t xml:space="preserve">3. Việc triển khai Kế hoạch phải đảm bảo kịp thời, chất lượng, hiệu quả, đáp ứng yêu cầu phát </w:t>
      </w:r>
      <w:r w:rsidR="000B55BD">
        <w:rPr>
          <w:spacing w:val="-4"/>
        </w:rPr>
        <w:t>triển kinh tế - xã hội của xã</w:t>
      </w:r>
      <w:r w:rsidRPr="001330F1">
        <w:rPr>
          <w:spacing w:val="-4"/>
        </w:rPr>
        <w:t xml:space="preserve">; phù hợp với các điều kiện, nguồn lực được giao. Các giải pháp áp dụng phải đồng bộ, hiệu quả nhằm nâng cao hiệu lực công tác quản lý Nhà nước về tư pháp </w:t>
      </w:r>
      <w:r w:rsidR="000B55BD">
        <w:rPr>
          <w:spacing w:val="-4"/>
        </w:rPr>
        <w:t>năm 2023 trên địa bàn toàn xã</w:t>
      </w:r>
      <w:r w:rsidRPr="001330F1">
        <w:rPr>
          <w:spacing w:val="-4"/>
        </w:rPr>
        <w:t>.</w:t>
      </w:r>
    </w:p>
    <w:p w:rsidR="00CF44AD" w:rsidRDefault="001223B6" w:rsidP="005361C3">
      <w:pPr>
        <w:widowControl w:val="0"/>
        <w:spacing w:before="120" w:line="288" w:lineRule="auto"/>
        <w:ind w:firstLine="720"/>
        <w:jc w:val="both"/>
        <w:rPr>
          <w:b/>
          <w:sz w:val="26"/>
          <w:szCs w:val="26"/>
        </w:rPr>
      </w:pPr>
      <w:r>
        <w:rPr>
          <w:b/>
          <w:sz w:val="26"/>
          <w:szCs w:val="26"/>
        </w:rPr>
        <w:t>II. NỘI DUNG KẾ HOẠCH</w:t>
      </w:r>
    </w:p>
    <w:p w:rsidR="00CF44AD" w:rsidRDefault="001223B6" w:rsidP="005361C3">
      <w:pPr>
        <w:widowControl w:val="0"/>
        <w:spacing w:before="120" w:line="288" w:lineRule="auto"/>
        <w:ind w:firstLine="720"/>
        <w:jc w:val="both"/>
        <w:rPr>
          <w:b/>
        </w:rPr>
      </w:pPr>
      <w:r>
        <w:rPr>
          <w:b/>
        </w:rPr>
        <w:t>1. Công tác xây dựng, kiểm tra, tự kiểm tra, rà soát, hệ thống hóa văn bản quy phạm pháp luật; quản lý xử lý vi phạm hành chính; theo dõi thi hành pháp luật; hỗ trợ pháp lý cho doanh nghiệp</w:t>
      </w:r>
    </w:p>
    <w:p w:rsidR="00CF44AD" w:rsidRPr="005361C3" w:rsidRDefault="001223B6" w:rsidP="005361C3">
      <w:pPr>
        <w:widowControl w:val="0"/>
        <w:spacing w:before="120" w:line="288" w:lineRule="auto"/>
        <w:ind w:firstLine="720"/>
        <w:jc w:val="both"/>
        <w:rPr>
          <w:spacing w:val="-4"/>
        </w:rPr>
      </w:pPr>
      <w:r w:rsidRPr="005361C3">
        <w:rPr>
          <w:spacing w:val="-4"/>
        </w:rPr>
        <w:t xml:space="preserve">- </w:t>
      </w:r>
      <w:r w:rsidRPr="005361C3">
        <w:rPr>
          <w:rFonts w:eastAsia="Calibri"/>
          <w:spacing w:val="-4"/>
        </w:rPr>
        <w:t>Tập trung t</w:t>
      </w:r>
      <w:r w:rsidRPr="005361C3">
        <w:rPr>
          <w:spacing w:val="-4"/>
        </w:rPr>
        <w:t xml:space="preserve">ham mưu các nhiệm vụ về công tác thể chế nhằm triển khai hiệu quả Nghị quyết số 27-NQ/TW ngày 09/11/2022 của Ban Chấp hành Trung ương về tiếp tục xây dựng và hoàn thiện Nhà nước pháp quyền xã hội chủ nghĩa Việt Nam trong giai đoạn mới, Kế hoạch số 11/KH-TW ngày 28/11/2022 của Ban Chấp hành Trung ương, Chương trình hành động số 24-CTr/TU ngày 07/02/2023 của Ban Chấp hành Đảng bộ tỉnh về thực hiện Nghị quyết số 27-NQ/TW. </w:t>
      </w:r>
    </w:p>
    <w:p w:rsidR="00CF44AD" w:rsidRPr="005361C3" w:rsidRDefault="001223B6" w:rsidP="005361C3">
      <w:pPr>
        <w:widowControl w:val="0"/>
        <w:spacing w:before="120" w:line="288" w:lineRule="auto"/>
        <w:ind w:firstLine="720"/>
        <w:jc w:val="both"/>
        <w:rPr>
          <w:spacing w:val="-4"/>
        </w:rPr>
      </w:pPr>
      <w:r w:rsidRPr="005361C3">
        <w:rPr>
          <w:spacing w:val="-4"/>
        </w:rPr>
        <w:t xml:space="preserve">- Tiếp tục triển khai thi hành hiệu quả Luật Ban hành văn bản quy phạm pháp luật và Chỉ thị số 43/CT-TTg ngày 11/12/2020 của Thủ tướng Chính phủ về nâng cao chất lượng công tác xây dựng, hoàn thiện hệ thống pháp luật và tăng cường hiệu quả </w:t>
      </w:r>
      <w:r w:rsidRPr="005361C3">
        <w:rPr>
          <w:spacing w:val="-4"/>
        </w:rPr>
        <w:lastRenderedPageBreak/>
        <w:t>thi hành pháp luật. Nâng cao chất lượng xây dựng, thẩm định văn bản quy phạm pháp luật. Theo dõi, đôn đốc, kiểm soát chặt chẽ việc xây dựng, ban hành văn bản quy định chi tiết của Hội đồng nhân dân,</w:t>
      </w:r>
      <w:r w:rsidR="000C79B3">
        <w:rPr>
          <w:spacing w:val="-4"/>
          <w:lang w:val="vi-VN"/>
        </w:rPr>
        <w:t xml:space="preserve"> các ban ngành đoàn thể</w:t>
      </w:r>
      <w:r w:rsidRPr="005361C3">
        <w:rPr>
          <w:spacing w:val="-4"/>
        </w:rPr>
        <w:t>.</w:t>
      </w:r>
    </w:p>
    <w:p w:rsidR="00CF44AD" w:rsidRDefault="001223B6" w:rsidP="005361C3">
      <w:pPr>
        <w:widowControl w:val="0"/>
        <w:spacing w:before="120" w:line="288" w:lineRule="auto"/>
        <w:ind w:firstLine="720"/>
        <w:jc w:val="both"/>
      </w:pPr>
      <w:r>
        <w:t xml:space="preserve">- Đẩy mạnh công tác kiểm tra, tự kiểm tra, rà soát văn bản quy phạm pháp luật; chú trọng việc xử lý văn bản sau khi có kết luận kiểm tra và kết quả rà soát. Triển khai nhiệm vụ hệ thống hóa văn bản quy phạm pháp luật kỳ 2019 - 2023. </w:t>
      </w:r>
    </w:p>
    <w:p w:rsidR="00CF44AD" w:rsidRDefault="001223B6" w:rsidP="005361C3">
      <w:pPr>
        <w:widowControl w:val="0"/>
        <w:spacing w:before="120" w:line="288" w:lineRule="auto"/>
        <w:ind w:firstLine="720"/>
        <w:jc w:val="both"/>
      </w:pPr>
      <w:r>
        <w:rPr>
          <w:rFonts w:eastAsia="Calibri"/>
        </w:rPr>
        <w:t xml:space="preserve">- </w:t>
      </w:r>
      <w:r>
        <w:t>Tiếp tục tổ chức triển khai có hiệu quả Luật sửa đổi, bổ sung một số điều của Luật Xử lý vi phạm hành chính và các văn bản hướng dẫn. Tăng cường kiểm tra liên ngành về tình hình thi hành pháp luật về xử lý vi phạm hành chính. Tiếp tục chú trọng công tác theo dõi thi hành pháp luật; tổ chức thực hiện kịp thời, có hiệu quả văn bản quy phạm pháp luật. Thường xuyên rà soát, đánh giá, tổng kết việc tổ chức thi hành pháp luật, nhằm kịp thời phát hiện những khó khăn, vướng mắc, cản trở hoạt động đầu tư, kinh doanh của doanh nghiệp cũng như đời sống Nhân dân, các vấn đề mới phát sinh cần điều chỉnh để kịp thời sửa đổi, bổ sung hoặc đề xuất cơ quan có thẩm quyền sửa đổi để phù hợp với tình hình thực tiễn.</w:t>
      </w:r>
    </w:p>
    <w:p w:rsidR="00CF44AD" w:rsidRDefault="001223B6" w:rsidP="005361C3">
      <w:pPr>
        <w:widowControl w:val="0"/>
        <w:spacing w:before="120" w:line="288" w:lineRule="auto"/>
        <w:ind w:firstLine="720"/>
        <w:jc w:val="center"/>
        <w:rPr>
          <w:i/>
        </w:rPr>
      </w:pPr>
      <w:r>
        <w:rPr>
          <w:i/>
        </w:rPr>
        <w:t>(Nhiệm vụ cụ thể tại Phụ lục I kèm theo Kế hoạch)</w:t>
      </w:r>
    </w:p>
    <w:p w:rsidR="00CF44AD" w:rsidRDefault="001223B6" w:rsidP="005361C3">
      <w:pPr>
        <w:widowControl w:val="0"/>
        <w:spacing w:before="120" w:line="288" w:lineRule="auto"/>
        <w:ind w:firstLine="720"/>
        <w:jc w:val="both"/>
        <w:rPr>
          <w:b/>
        </w:rPr>
      </w:pPr>
      <w:r>
        <w:rPr>
          <w:b/>
        </w:rPr>
        <w:t>2. Công tác phổ biến, giáo dục pháp luật; hòa giải ở cơ sở; chuẩn tiếp cận pháp luật; pháp chế; bồi thường Nhà nước</w:t>
      </w:r>
    </w:p>
    <w:p w:rsidR="00CF44AD" w:rsidRDefault="001223B6" w:rsidP="005361C3">
      <w:pPr>
        <w:widowControl w:val="0"/>
        <w:spacing w:before="120" w:line="288" w:lineRule="auto"/>
        <w:ind w:firstLine="720"/>
        <w:jc w:val="both"/>
      </w:pPr>
      <w:r>
        <w:t xml:space="preserve">- Tiếp tục tổ chức thực hiện nghiêm Kết luận số 80-KL/TW ngày 20/6/2020 của Ban Bí thư, Chỉ thị số 02-CT/TU ngày 04/12/2020 của Ban Thường vụ Tỉnh ủy về tiếp tục thực hiện Chỉ thị số 32-CT/TW ngày 09/12/2003 của Ban Bí thư về tăng cường sự lãnh đạo của Đảng trong công tác phổ biến, giáo dục pháp luật. Chú trọng đổi mới nội dung, hình thức phổ biến, giáo dục pháp luật. Tăng cường ứng dụng công nghệ thông tin trong công tác phổ biến, giáo dục pháp luật, gắn với việc thực hiện chuyển đổi số; tiếp tục tham mưu triển khai hiệu quả các Đề án tuyên truyền, phổ biến, giáo </w:t>
      </w:r>
      <w:r w:rsidR="00D13222">
        <w:t>dục pháp luật trên địa bàn xã</w:t>
      </w:r>
      <w:r>
        <w:t>.</w:t>
      </w:r>
    </w:p>
    <w:p w:rsidR="00CF44AD" w:rsidRDefault="001223B6" w:rsidP="005361C3">
      <w:pPr>
        <w:widowControl w:val="0"/>
        <w:spacing w:before="120" w:line="288" w:lineRule="auto"/>
        <w:ind w:firstLine="720"/>
        <w:jc w:val="both"/>
      </w:pPr>
      <w:r>
        <w:t xml:space="preserve">- Thực hiện hiệu quả Luật Hòa giải ở cơ sở và các văn bản hướng dẫn thi hành; tổng kết 10 năm Luật Hòa giải ở cơ sở; hưởng ứng Hội thi hòa giải viên giỏi toàn quốc lần thứ IV. Tập trung củng cố, kiện toàn mạng lưới tổ hòa giải ở cơ sở và đội ngũ hòa giải viên; nâng cao chất lượng đội ngũ hòa giải viên ở cơ sở. </w:t>
      </w:r>
    </w:p>
    <w:p w:rsidR="00CF44AD" w:rsidRDefault="001223B6" w:rsidP="005361C3">
      <w:pPr>
        <w:widowControl w:val="0"/>
        <w:spacing w:before="120" w:line="288" w:lineRule="auto"/>
        <w:ind w:firstLine="720"/>
        <w:jc w:val="both"/>
      </w:pPr>
      <w:r>
        <w:t xml:space="preserve">- Tiếp tục thực hiện có hiệu quả Quyết định số 25/2021/QĐ-TTg ngày 22/7/2021 của Thủ tướng Chính phủ quy định về xã, phường, thị trấn đạt chuẩn tiếp cận pháp luật, Thông tư số 09/2021/TT-BTP ngày 15/11/2021 của Bộ trưởng Bộ Tư pháp hướng dẫn triển khai thực hiện Quyết định số 25/2021/QĐ-TTg và Quyết định số 1723/QĐ-BTP ngày 15/8/2022 của Bộ trưởng Bộ Tư pháp ban hành </w:t>
      </w:r>
      <w:r>
        <w:lastRenderedPageBreak/>
        <w:t>văn bản hướng dẫn tiêu chí huyện đạt chuẩn tiếp cận pháp luật thuộc Bộ tiêu chí quốc gia về nông thôn mới, tiêu chí tiếp cận pháp luật theo Bộ tiêu chí quốc gia về xã nông thôn mới nâng cao giai đoạn 2021 - 2025 và tiêu chí quận, thị xã, thành phố đạt chuẩn tiếp cận pháp luật thuộc tiêu chí quận, thị xã, thành phố thuộc cấp tỉnh đạt chuẩn văn minh đô thị.</w:t>
      </w:r>
    </w:p>
    <w:p w:rsidR="00CF44AD" w:rsidRDefault="001223B6" w:rsidP="005361C3">
      <w:pPr>
        <w:widowControl w:val="0"/>
        <w:spacing w:before="120" w:line="288" w:lineRule="auto"/>
        <w:ind w:firstLine="720"/>
        <w:jc w:val="both"/>
      </w:pPr>
      <w:r>
        <w:t>- Tiếp tục thi hành hiệu quả Luật Trách nhiệm bồi thường của Nhà nước và các văn bản có liên quan, nhất là sơ kết 05 năm thi hành Luật. Thực hiện có hiệu quả hoạt động quản lý Nhà nước về công tác bồi thường trong hoạt động quản lý hành chính, tố tụng và thi hành án.</w:t>
      </w:r>
    </w:p>
    <w:p w:rsidR="00CF44AD" w:rsidRDefault="001223B6" w:rsidP="005361C3">
      <w:pPr>
        <w:widowControl w:val="0"/>
        <w:spacing w:before="120" w:line="288" w:lineRule="auto"/>
        <w:ind w:firstLine="720"/>
        <w:jc w:val="center"/>
        <w:rPr>
          <w:i/>
        </w:rPr>
      </w:pPr>
      <w:r>
        <w:rPr>
          <w:i/>
        </w:rPr>
        <w:t>(Nhiệm vụ cụ thể tại Phụ lục II kèm theo Kế hoạch)</w:t>
      </w:r>
    </w:p>
    <w:p w:rsidR="00CF44AD" w:rsidRDefault="001223B6" w:rsidP="005361C3">
      <w:pPr>
        <w:widowControl w:val="0"/>
        <w:spacing w:before="120" w:line="288" w:lineRule="auto"/>
        <w:ind w:firstLine="720"/>
        <w:jc w:val="both"/>
        <w:rPr>
          <w:b/>
        </w:rPr>
      </w:pPr>
      <w:r>
        <w:rPr>
          <w:rFonts w:eastAsia="Calibri"/>
          <w:b/>
        </w:rPr>
        <w:t xml:space="preserve">3. </w:t>
      </w:r>
      <w:r>
        <w:rPr>
          <w:b/>
        </w:rPr>
        <w:t>Công tác hộ tịch, quốc tịch, chứng thực, nuôi con nuôi, đăng ký biện pháp bảo đảm</w:t>
      </w:r>
    </w:p>
    <w:p w:rsidR="00CF44AD" w:rsidRDefault="001223B6" w:rsidP="005361C3">
      <w:pPr>
        <w:widowControl w:val="0"/>
        <w:spacing w:before="120" w:line="288" w:lineRule="auto"/>
        <w:ind w:firstLine="720"/>
        <w:jc w:val="both"/>
        <w:rPr>
          <w:rFonts w:eastAsia="Calibri"/>
        </w:rPr>
      </w:pPr>
      <w:r>
        <w:rPr>
          <w:rFonts w:eastAsia="Calibri"/>
        </w:rPr>
        <w:t>- Tiếp tục đẩy mạnh thực hiện Kế hoạch số 154/KH-UBND ngày 09/5/2017 của Ủy ban nhân dân tỉnh về thực hiện Chương trình hành động quốc gia của Việt Nam về đăng ký và thống kê hộ tịch giai đoạn 2017 - 2024 ban hành kèm theo Quyết định số 101/QĐ-TTg ngày 23/01/2017 của Thủ tướng Chính phủ; chỉ đạo, hướng dẫn các địa phương đẩy mạnh đăng ký hộ tịch trực tuyến.</w:t>
      </w:r>
    </w:p>
    <w:p w:rsidR="00CF44AD" w:rsidRPr="005361C3" w:rsidRDefault="001223B6" w:rsidP="005361C3">
      <w:pPr>
        <w:widowControl w:val="0"/>
        <w:spacing w:before="120" w:line="288" w:lineRule="auto"/>
        <w:ind w:firstLine="720"/>
        <w:jc w:val="both"/>
        <w:rPr>
          <w:rFonts w:eastAsia="Calibri"/>
          <w:spacing w:val="-6"/>
        </w:rPr>
      </w:pPr>
      <w:r w:rsidRPr="005361C3">
        <w:rPr>
          <w:rFonts w:eastAsia="Calibri"/>
          <w:spacing w:val="-6"/>
        </w:rPr>
        <w:t>- Tăng cường quản lý Nhà nước trong công tác chứng thực; tiếp tục triển khai thực hiện hiệu quả Nghị định số 23/2015/NĐ-CP ngày 16/02/2015 của Chính phủ về cấp bản sao từ sổ gốc, chứng thực bản sao từ bản chính, chứng thực chữ ký và chứng thực hợp đồng, giao dịch, Chỉ thị số 17/CT-TTg ngày 20/6/2014 của Thủ tướng Chính phủ về một số biện pháp chấn chỉnh tình trạng lạm dụng yêu cầu nộp bản sao có chứng thực đối với giấy tờ, văn bản khi thực hiện thủ tục hành chính. Tiếp tục đẩy mạnh triển khai chứng thực bản sao điện tử từ bản chính trên đị</w:t>
      </w:r>
      <w:r w:rsidR="00D747A4">
        <w:rPr>
          <w:rFonts w:eastAsia="Calibri"/>
          <w:spacing w:val="-6"/>
        </w:rPr>
        <w:t>a bàn xã</w:t>
      </w:r>
      <w:r w:rsidRPr="005361C3">
        <w:rPr>
          <w:rFonts w:eastAsia="Calibri"/>
          <w:spacing w:val="-6"/>
        </w:rPr>
        <w:t>.</w:t>
      </w:r>
    </w:p>
    <w:p w:rsidR="00CF44AD" w:rsidRPr="005361C3" w:rsidRDefault="001223B6" w:rsidP="005361C3">
      <w:pPr>
        <w:widowControl w:val="0"/>
        <w:spacing w:before="120" w:line="288" w:lineRule="auto"/>
        <w:ind w:firstLine="720"/>
        <w:jc w:val="both"/>
        <w:rPr>
          <w:rFonts w:eastAsia="Calibri"/>
          <w:spacing w:val="-6"/>
        </w:rPr>
      </w:pPr>
      <w:r w:rsidRPr="005361C3">
        <w:rPr>
          <w:rFonts w:eastAsia="Calibri"/>
          <w:spacing w:val="-6"/>
        </w:rPr>
        <w:t>- Tiếp tục triển khai thực hiện đồng bộ, hiệu quả Luật Nuôi con nuôi và các văn bản hướng dẫn thi hành. Giải quyết kịp thời, đúng quy định pháp luật về quốc tịch (nếu có), đảm bảo thuận lợi, an toàn cho người dân. Triển khai thực hiện Nghị định số 99/2022/NĐ-CP ngày 30/11/2022 của Chính phủ về đăng ký biện pháp bảo đảm.</w:t>
      </w:r>
    </w:p>
    <w:p w:rsidR="00CF44AD" w:rsidRDefault="001223B6" w:rsidP="005361C3">
      <w:pPr>
        <w:widowControl w:val="0"/>
        <w:spacing w:before="120" w:line="288" w:lineRule="auto"/>
        <w:ind w:firstLine="720"/>
        <w:jc w:val="both"/>
        <w:rPr>
          <w:rFonts w:eastAsia="Calibri"/>
        </w:rPr>
      </w:pPr>
      <w:r>
        <w:rPr>
          <w:rFonts w:eastAsia="Calibri"/>
        </w:rPr>
        <w:t>- Chú trọng thực hiện các nhiệm vụ theo Đề án 06, trong đó tập trung thực hiện các dịch vụ công thiết yếu của ngành Tư pháp; rà soát dữ liệu hộ tịch, đảm bảo thống nhất với cơ sở dữ liệu quốc gia về dân cư.</w:t>
      </w:r>
    </w:p>
    <w:p w:rsidR="00CF44AD" w:rsidRDefault="001223B6" w:rsidP="005361C3">
      <w:pPr>
        <w:widowControl w:val="0"/>
        <w:spacing w:before="120" w:line="288" w:lineRule="auto"/>
        <w:ind w:firstLine="720"/>
        <w:jc w:val="both"/>
        <w:rPr>
          <w:b/>
        </w:rPr>
      </w:pPr>
      <w:r>
        <w:rPr>
          <w:b/>
        </w:rPr>
        <w:t>4. Công tác trợ giúp pháp lý</w:t>
      </w:r>
    </w:p>
    <w:p w:rsidR="00CF44AD" w:rsidRDefault="001223B6" w:rsidP="005361C3">
      <w:pPr>
        <w:widowControl w:val="0"/>
        <w:spacing w:before="120" w:line="288" w:lineRule="auto"/>
        <w:ind w:firstLine="720"/>
        <w:jc w:val="both"/>
      </w:pPr>
      <w:r>
        <w:t xml:space="preserve">- Tiếp tục tổ chức thực hiện hiệu quả Luật Trợ giúp pháp lý năm 2017 và các văn bản hướng dẫn thi hành; thực hiện Đề án đổi mới công tác trợ giúp pháp lý giai đoạn 2021 - 2025 phù hợp với Luật Trợ giúp pháp lý, các nội dung trợ giúp </w:t>
      </w:r>
      <w:r>
        <w:lastRenderedPageBreak/>
        <w:t>pháp lý trong các Chương trình mục tiêu quốc gia giai đoạn 2021 - 2025.</w:t>
      </w:r>
    </w:p>
    <w:p w:rsidR="00CF44AD" w:rsidRDefault="001223B6" w:rsidP="005361C3">
      <w:pPr>
        <w:widowControl w:val="0"/>
        <w:spacing w:before="120" w:line="288" w:lineRule="auto"/>
        <w:ind w:firstLine="720"/>
        <w:jc w:val="both"/>
      </w:pPr>
      <w:r>
        <w:t xml:space="preserve">- Nâng cao chất lượng, hiệu quả dịch vụ trợ giúp pháp lý và năng lực, kỹ năng cho đội ngũ người thực hiện trợ giúp pháp lý; tăng cường công tác phối hợp trợ giúp pháp lý trong hoạt động tố tụng, trợ giúp pháp lý cho người khuyết tật. </w:t>
      </w:r>
    </w:p>
    <w:p w:rsidR="00CF44AD" w:rsidRDefault="001223B6" w:rsidP="005361C3">
      <w:pPr>
        <w:widowControl w:val="0"/>
        <w:spacing w:before="120" w:line="288" w:lineRule="auto"/>
        <w:ind w:firstLine="720"/>
        <w:jc w:val="both"/>
      </w:pPr>
      <w:r>
        <w:t>- Đẩy mạnh hoạt động truyền thông về trợ giúp pháp lý; tăng cường ứng dụng công nghệ thông tin, áp dụng có hiệu quả phần mềm quản lý hoạt động trợ giúp pháp lý.</w:t>
      </w:r>
    </w:p>
    <w:p w:rsidR="00CF44AD" w:rsidRDefault="001223B6" w:rsidP="005361C3">
      <w:pPr>
        <w:widowControl w:val="0"/>
        <w:spacing w:before="120" w:line="288" w:lineRule="auto"/>
        <w:ind w:firstLine="720"/>
        <w:jc w:val="both"/>
        <w:rPr>
          <w:i/>
        </w:rPr>
      </w:pPr>
      <w:r>
        <w:tab/>
      </w:r>
      <w:r>
        <w:rPr>
          <w:i/>
        </w:rPr>
        <w:t>(Nhiệm vụ cụ thể tại Phụ lục III kèm theo Kế hoạch)</w:t>
      </w:r>
    </w:p>
    <w:p w:rsidR="00CF44AD" w:rsidRDefault="001223B6" w:rsidP="005361C3">
      <w:pPr>
        <w:widowControl w:val="0"/>
        <w:spacing w:before="120" w:line="288" w:lineRule="auto"/>
        <w:ind w:firstLine="720"/>
        <w:jc w:val="both"/>
        <w:rPr>
          <w:b/>
        </w:rPr>
      </w:pPr>
      <w:r>
        <w:rPr>
          <w:b/>
        </w:rPr>
        <w:t>5. Công tác thanh tra, kiểm tra, tiếp công dân, giải quyết khiếu nại, tố cáo và phòng chống tham nhũng trong ngành Tư pháp</w:t>
      </w:r>
    </w:p>
    <w:p w:rsidR="00CF44AD" w:rsidRDefault="001223B6" w:rsidP="005361C3">
      <w:pPr>
        <w:widowControl w:val="0"/>
        <w:spacing w:before="120" w:line="288" w:lineRule="auto"/>
        <w:ind w:firstLine="720"/>
        <w:jc w:val="both"/>
        <w:rPr>
          <w:spacing w:val="-2"/>
        </w:rPr>
      </w:pPr>
      <w:r>
        <w:rPr>
          <w:spacing w:val="-2"/>
        </w:rPr>
        <w:t>Thực hiện tốt công tác phòng, chống tham nhũng; nâng cao hiệu quả công tác tiếp công dân, giải quyết khiếu nại, tố cáo trong lĩnh vực tư pháp thuộc thẩm quyền</w:t>
      </w:r>
      <w:r w:rsidR="005361C3">
        <w:rPr>
          <w:spacing w:val="-2"/>
        </w:rPr>
        <w:t>.</w:t>
      </w:r>
    </w:p>
    <w:p w:rsidR="00CF44AD" w:rsidRPr="005361C3" w:rsidRDefault="001223B6" w:rsidP="005361C3">
      <w:pPr>
        <w:widowControl w:val="0"/>
        <w:spacing w:before="120" w:line="288" w:lineRule="auto"/>
        <w:ind w:firstLine="720"/>
        <w:jc w:val="both"/>
        <w:rPr>
          <w:rFonts w:ascii="Times New Roman Bold" w:hAnsi="Times New Roman Bold"/>
          <w:b/>
          <w:spacing w:val="-8"/>
        </w:rPr>
      </w:pPr>
      <w:r w:rsidRPr="005361C3">
        <w:rPr>
          <w:rFonts w:ascii="Times New Roman Bold" w:hAnsi="Times New Roman Bold"/>
          <w:b/>
          <w:spacing w:val="-8"/>
        </w:rPr>
        <w:t>6. C</w:t>
      </w:r>
      <w:r w:rsidRPr="005361C3">
        <w:rPr>
          <w:rFonts w:ascii="Times New Roman Bold" w:hAnsi="Times New Roman Bold" w:hint="eastAsia"/>
          <w:b/>
          <w:spacing w:val="-8"/>
        </w:rPr>
        <w:t>ô</w:t>
      </w:r>
      <w:r w:rsidRPr="005361C3">
        <w:rPr>
          <w:rFonts w:ascii="Times New Roman Bold" w:hAnsi="Times New Roman Bold"/>
          <w:b/>
          <w:spacing w:val="-8"/>
        </w:rPr>
        <w:t>ng t</w:t>
      </w:r>
      <w:r w:rsidRPr="005361C3">
        <w:rPr>
          <w:rFonts w:ascii="Times New Roman Bold" w:hAnsi="Times New Roman Bold" w:hint="eastAsia"/>
          <w:b/>
          <w:spacing w:val="-8"/>
        </w:rPr>
        <w:t>á</w:t>
      </w:r>
      <w:r w:rsidRPr="005361C3">
        <w:rPr>
          <w:rFonts w:ascii="Times New Roman Bold" w:hAnsi="Times New Roman Bold"/>
          <w:b/>
          <w:spacing w:val="-8"/>
        </w:rPr>
        <w:t>c x</w:t>
      </w:r>
      <w:r w:rsidRPr="005361C3">
        <w:rPr>
          <w:rFonts w:ascii="Times New Roman Bold" w:hAnsi="Times New Roman Bold" w:hint="eastAsia"/>
          <w:b/>
          <w:spacing w:val="-8"/>
        </w:rPr>
        <w:t>â</w:t>
      </w:r>
      <w:r w:rsidRPr="005361C3">
        <w:rPr>
          <w:rFonts w:ascii="Times New Roman Bold" w:hAnsi="Times New Roman Bold"/>
          <w:b/>
          <w:spacing w:val="-8"/>
        </w:rPr>
        <w:t>y dựng ng</w:t>
      </w:r>
      <w:r w:rsidRPr="005361C3">
        <w:rPr>
          <w:rFonts w:ascii="Times New Roman Bold" w:hAnsi="Times New Roman Bold" w:hint="eastAsia"/>
          <w:b/>
          <w:spacing w:val="-8"/>
        </w:rPr>
        <w:t>à</w:t>
      </w:r>
      <w:r w:rsidRPr="005361C3">
        <w:rPr>
          <w:rFonts w:ascii="Times New Roman Bold" w:hAnsi="Times New Roman Bold"/>
          <w:b/>
          <w:spacing w:val="-8"/>
        </w:rPr>
        <w:t>nh; cải c</w:t>
      </w:r>
      <w:r w:rsidRPr="005361C3">
        <w:rPr>
          <w:rFonts w:ascii="Times New Roman Bold" w:hAnsi="Times New Roman Bold" w:hint="eastAsia"/>
          <w:b/>
          <w:spacing w:val="-8"/>
        </w:rPr>
        <w:t>á</w:t>
      </w:r>
      <w:r w:rsidRPr="005361C3">
        <w:rPr>
          <w:rFonts w:ascii="Times New Roman Bold" w:hAnsi="Times New Roman Bold"/>
          <w:b/>
          <w:spacing w:val="-8"/>
        </w:rPr>
        <w:t>ch h</w:t>
      </w:r>
      <w:r w:rsidRPr="005361C3">
        <w:rPr>
          <w:rFonts w:ascii="Times New Roman Bold" w:hAnsi="Times New Roman Bold" w:hint="eastAsia"/>
          <w:b/>
          <w:spacing w:val="-8"/>
        </w:rPr>
        <w:t>à</w:t>
      </w:r>
      <w:r w:rsidRPr="005361C3">
        <w:rPr>
          <w:rFonts w:ascii="Times New Roman Bold" w:hAnsi="Times New Roman Bold"/>
          <w:b/>
          <w:spacing w:val="-8"/>
        </w:rPr>
        <w:t>nh ch</w:t>
      </w:r>
      <w:r w:rsidRPr="005361C3">
        <w:rPr>
          <w:rFonts w:ascii="Times New Roman Bold" w:hAnsi="Times New Roman Bold" w:hint="eastAsia"/>
          <w:b/>
          <w:spacing w:val="-8"/>
        </w:rPr>
        <w:t>í</w:t>
      </w:r>
      <w:r w:rsidRPr="005361C3">
        <w:rPr>
          <w:rFonts w:ascii="Times New Roman Bold" w:hAnsi="Times New Roman Bold"/>
          <w:b/>
          <w:spacing w:val="-8"/>
        </w:rPr>
        <w:t>nh v</w:t>
      </w:r>
      <w:r w:rsidRPr="005361C3">
        <w:rPr>
          <w:rFonts w:ascii="Times New Roman Bold" w:hAnsi="Times New Roman Bold" w:hint="eastAsia"/>
          <w:b/>
          <w:spacing w:val="-8"/>
        </w:rPr>
        <w:t>à</w:t>
      </w:r>
      <w:r w:rsidRPr="005361C3">
        <w:rPr>
          <w:rFonts w:ascii="Times New Roman Bold" w:hAnsi="Times New Roman Bold"/>
          <w:b/>
          <w:spacing w:val="-8"/>
        </w:rPr>
        <w:t xml:space="preserve"> thi </w:t>
      </w:r>
      <w:r w:rsidRPr="005361C3">
        <w:rPr>
          <w:rFonts w:ascii="Times New Roman Bold" w:hAnsi="Times New Roman Bold" w:hint="eastAsia"/>
          <w:b/>
          <w:spacing w:val="-8"/>
        </w:rPr>
        <w:t>đ</w:t>
      </w:r>
      <w:r w:rsidRPr="005361C3">
        <w:rPr>
          <w:rFonts w:ascii="Times New Roman Bold" w:hAnsi="Times New Roman Bold"/>
          <w:b/>
          <w:spacing w:val="-8"/>
        </w:rPr>
        <w:t>ua - khen th</w:t>
      </w:r>
      <w:r w:rsidRPr="005361C3">
        <w:rPr>
          <w:rFonts w:ascii="Times New Roman Bold" w:hAnsi="Times New Roman Bold" w:hint="eastAsia"/>
          <w:b/>
          <w:spacing w:val="-8"/>
        </w:rPr>
        <w:t>ư</w:t>
      </w:r>
      <w:r w:rsidRPr="005361C3">
        <w:rPr>
          <w:rFonts w:ascii="Times New Roman Bold" w:hAnsi="Times New Roman Bold"/>
          <w:b/>
          <w:spacing w:val="-8"/>
        </w:rPr>
        <w:t>ởng</w:t>
      </w:r>
    </w:p>
    <w:p w:rsidR="00CF44AD" w:rsidRDefault="001223B6" w:rsidP="005361C3">
      <w:pPr>
        <w:widowControl w:val="0"/>
        <w:spacing w:before="120" w:line="288" w:lineRule="auto"/>
        <w:ind w:firstLine="720"/>
        <w:jc w:val="both"/>
      </w:pPr>
      <w:r>
        <w:t xml:space="preserve">- Tăng cường công tác nghiên cứu khoa học pháp lý, trước hết là những vấn đề thuộc chức năng, nhiệm vụ của ngành Tư pháp, qua đó sắp xếp, đổi mới các lĩnh vực công tác có liên quan, tạo sự chuyển biến tích cực trong việc thực hiện chức năng, nhiệm vụ của ngành, đóng góp tích cực hơn cho sự phát triển kinh tế - xã hội của địa phương. </w:t>
      </w:r>
    </w:p>
    <w:p w:rsidR="00CF44AD" w:rsidRDefault="001223B6" w:rsidP="005361C3">
      <w:pPr>
        <w:widowControl w:val="0"/>
        <w:spacing w:before="120" w:line="288" w:lineRule="auto"/>
        <w:ind w:firstLine="720"/>
        <w:jc w:val="both"/>
      </w:pPr>
      <w:r>
        <w:t>- Tiếp tục thực hiện có hiệu quả Quyết định số 682/QĐ-BTP ngày 07/5/2021 của Bộ trưởng Bộ Tư pháp ban hành Kế hoạch Ứng dụng công nghệ thông tin, phát triển Chính phủ số và bảo đảm an toàn thông tin mạng trong hoạt động của ngành Tư pháp giai đoạn 2021-2025; Quyết định số 983/QĐ-BTP ngày 10/6/2021 của Bộ trưởng Bộ Tư pháp về việc ban hành Kế hoạch “Chuyển đổi số ngành Tư pháp giai đoạn 2020-2025, định hướng đến năm 2030”; cung cấp dịch vụ công trực tuyến toàn trình đối với 100% thủ tục hành chính thuộc lĩnh vực tư pháp đủ điều kiện và thực hiện có hiệu quả việc kết nối, cung cấp các dịch vụ này trên Cổng Dịch vụ công quốc gia và của Tỉnh, của huyện.</w:t>
      </w:r>
    </w:p>
    <w:p w:rsidR="00CF44AD" w:rsidRDefault="001223B6" w:rsidP="005361C3">
      <w:pPr>
        <w:widowControl w:val="0"/>
        <w:spacing w:before="120" w:line="288" w:lineRule="auto"/>
        <w:ind w:firstLine="720"/>
        <w:jc w:val="both"/>
        <w:rPr>
          <w:rFonts w:eastAsia="Calibri"/>
        </w:rPr>
      </w:pPr>
      <w:r>
        <w:rPr>
          <w:rFonts w:eastAsia="Calibri"/>
        </w:rPr>
        <w:t>- Tổ chức có hiệu quả, thiết thực phong trào thi đua do Ủ</w:t>
      </w:r>
      <w:r w:rsidR="004C3A80">
        <w:rPr>
          <w:rFonts w:eastAsia="Calibri"/>
        </w:rPr>
        <w:t xml:space="preserve">y ban nhân dân huyện, </w:t>
      </w:r>
      <w:r w:rsidR="004C3A80">
        <w:rPr>
          <w:rFonts w:eastAsia="Calibri"/>
          <w:lang w:val="vi-VN"/>
        </w:rPr>
        <w:t>P</w:t>
      </w:r>
      <w:r w:rsidR="004C3A80">
        <w:rPr>
          <w:rFonts w:eastAsia="Calibri"/>
        </w:rPr>
        <w:t>hòng</w:t>
      </w:r>
      <w:r>
        <w:rPr>
          <w:rFonts w:eastAsia="Calibri"/>
        </w:rPr>
        <w:t xml:space="preserve"> Tư pháp phát động, thúc đẩy sự lan tỏa các phong trào thi đua; chỉ đạo ban hành tiêu chí thi đua, xếp hạng các xã, thị trấn về công tác tư pháp.</w:t>
      </w:r>
    </w:p>
    <w:p w:rsidR="00CF44AD" w:rsidRDefault="001223B6" w:rsidP="005361C3">
      <w:pPr>
        <w:widowControl w:val="0"/>
        <w:spacing w:before="120" w:line="288" w:lineRule="auto"/>
        <w:ind w:firstLine="720"/>
        <w:jc w:val="both"/>
        <w:rPr>
          <w:b/>
          <w:sz w:val="26"/>
          <w:szCs w:val="26"/>
        </w:rPr>
      </w:pPr>
      <w:r>
        <w:rPr>
          <w:b/>
          <w:sz w:val="26"/>
          <w:szCs w:val="26"/>
        </w:rPr>
        <w:t>III. TỔ CHỨC THỰC HIỆN</w:t>
      </w:r>
    </w:p>
    <w:p w:rsidR="00CF44AD" w:rsidRDefault="001223B6" w:rsidP="005361C3">
      <w:pPr>
        <w:widowControl w:val="0"/>
        <w:spacing w:before="120" w:line="288" w:lineRule="auto"/>
        <w:ind w:firstLine="720"/>
        <w:jc w:val="both"/>
      </w:pPr>
      <w:r>
        <w:t xml:space="preserve">1. Trên cơ sở các nội dung của Kế hoạch, </w:t>
      </w:r>
      <w:r w:rsidR="00787B17">
        <w:rPr>
          <w:lang w:val="vi-VN"/>
        </w:rPr>
        <w:t xml:space="preserve">các ban ngành, đoàn thể, các xóm, các trường học, trạm y tế </w:t>
      </w:r>
      <w:r>
        <w:t xml:space="preserve">có trách nhiệm xây dựng Kế hoạch tổ chức triển khai thực hiện ở đơn vị, địa phương mình và báo cáo kết quả thực hiện về Ủy ban nhân </w:t>
      </w:r>
      <w:r w:rsidR="00787B17">
        <w:lastRenderedPageBreak/>
        <w:t xml:space="preserve">dân xã (qua ngành </w:t>
      </w:r>
      <w:r>
        <w:t>Tư pháp) theo quy định.</w:t>
      </w:r>
    </w:p>
    <w:p w:rsidR="00CF44AD" w:rsidRDefault="00787B17" w:rsidP="005361C3">
      <w:pPr>
        <w:widowControl w:val="0"/>
        <w:spacing w:before="120" w:line="288" w:lineRule="auto"/>
        <w:ind w:firstLine="720"/>
        <w:jc w:val="both"/>
      </w:pPr>
      <w:r>
        <w:t xml:space="preserve">2. </w:t>
      </w:r>
      <w:r>
        <w:rPr>
          <w:lang w:val="vi-VN"/>
        </w:rPr>
        <w:t>Ngành</w:t>
      </w:r>
      <w:r w:rsidR="001223B6">
        <w:t xml:space="preserve"> Tư pháp theo dõi, đôn đốc, kiểm tra, đánh giá kết quả thực hiện Kế hoạch; định kỳ hàng tháng, 6 tháng, năm và đột xuất, tổng hợ</w:t>
      </w:r>
      <w:r>
        <w:t>p, báo cáo Ủy ban nhân dân xã, phòng</w:t>
      </w:r>
      <w:r w:rsidR="001223B6">
        <w:t xml:space="preserve"> Tư pháp và cơ quan có thẩm quyền theo quy định. Kịp thời tham mưu đề xuất những nhiệm vụ cần được ưu tiên tập trung chỉ đạo giải quyết dứt điểm trong từng thời gian cụ thể; lựa chọn, đề xuất </w:t>
      </w:r>
      <w:r>
        <w:t>Ủy ban nhân dân xã</w:t>
      </w:r>
      <w:r w:rsidR="001223B6">
        <w:t xml:space="preserve"> biểu dương, khen thưởng các cơ quan, đơn vị và cá nhân có thành tích xuất sắc trong quá trình triển khai công tác tư pháp năm 2023.</w:t>
      </w:r>
    </w:p>
    <w:p w:rsidR="00CF44AD" w:rsidRDefault="001223B6" w:rsidP="005361C3">
      <w:pPr>
        <w:widowControl w:val="0"/>
        <w:spacing w:before="120" w:line="288" w:lineRule="auto"/>
        <w:ind w:firstLine="720"/>
        <w:jc w:val="both"/>
      </w:pPr>
      <w:r>
        <w:t xml:space="preserve">Quá trình thực hiện, trường hợp có khó khăn, vướng mắc, các đơn vị, địa phương phản ánh về </w:t>
      </w:r>
      <w:r w:rsidR="00290A09">
        <w:rPr>
          <w:lang w:val="vi-VN"/>
        </w:rPr>
        <w:t xml:space="preserve">Ngành </w:t>
      </w:r>
      <w:r>
        <w:t xml:space="preserve">Tư pháp để được hướng dẫn, giải quyết; trường hợp vượt thẩm quyền, </w:t>
      </w:r>
      <w:r w:rsidR="00290A09">
        <w:rPr>
          <w:lang w:val="vi-VN"/>
        </w:rPr>
        <w:t xml:space="preserve">Ngành </w:t>
      </w:r>
      <w:r>
        <w:t>Tư pháp tổng hợp, báo cá</w:t>
      </w:r>
      <w:r w:rsidR="00290A09">
        <w:t>o, đề xuất Ủy ban nhân dân xã</w:t>
      </w:r>
      <w:r>
        <w:t xml:space="preserve"> và cơ quan có thẩm quyền theo quy định./.</w:t>
      </w:r>
    </w:p>
    <w:p w:rsidR="00CF44AD" w:rsidRDefault="00CF44AD">
      <w:pPr>
        <w:spacing w:after="60"/>
        <w:ind w:firstLine="720"/>
        <w:jc w:val="both"/>
        <w:rPr>
          <w:sz w:val="2"/>
          <w:lang w:val="nb-NO"/>
        </w:rPr>
      </w:pPr>
    </w:p>
    <w:p w:rsidR="00CF44AD" w:rsidRDefault="00CF44AD">
      <w:pPr>
        <w:spacing w:before="120"/>
        <w:ind w:firstLine="709"/>
        <w:jc w:val="both"/>
        <w:rPr>
          <w:sz w:val="2"/>
          <w:lang w:val="nb-NO"/>
        </w:rPr>
      </w:pPr>
    </w:p>
    <w:tbl>
      <w:tblPr>
        <w:tblW w:w="9288" w:type="dxa"/>
        <w:tblLook w:val="01E0" w:firstRow="1" w:lastRow="1" w:firstColumn="1" w:lastColumn="1" w:noHBand="0" w:noVBand="0"/>
      </w:tblPr>
      <w:tblGrid>
        <w:gridCol w:w="4644"/>
        <w:gridCol w:w="4644"/>
      </w:tblGrid>
      <w:tr w:rsidR="00CF44AD">
        <w:tc>
          <w:tcPr>
            <w:tcW w:w="4644" w:type="dxa"/>
          </w:tcPr>
          <w:p w:rsidR="00CF44AD" w:rsidRDefault="001223B6">
            <w:pPr>
              <w:jc w:val="both"/>
              <w:rPr>
                <w:b/>
                <w:i/>
                <w:sz w:val="24"/>
                <w:szCs w:val="24"/>
              </w:rPr>
            </w:pPr>
            <w:r>
              <w:rPr>
                <w:b/>
                <w:i/>
                <w:sz w:val="24"/>
                <w:szCs w:val="24"/>
              </w:rPr>
              <w:t>Nơi nhận:</w:t>
            </w:r>
          </w:p>
          <w:p w:rsidR="00CF44AD" w:rsidRDefault="00290A09">
            <w:pPr>
              <w:jc w:val="both"/>
              <w:rPr>
                <w:sz w:val="22"/>
                <w:szCs w:val="22"/>
              </w:rPr>
            </w:pPr>
            <w:r>
              <w:rPr>
                <w:sz w:val="22"/>
                <w:szCs w:val="22"/>
              </w:rPr>
              <w:t xml:space="preserve">- </w:t>
            </w:r>
            <w:r>
              <w:rPr>
                <w:sz w:val="22"/>
                <w:szCs w:val="22"/>
                <w:lang w:val="vi-VN"/>
              </w:rPr>
              <w:t xml:space="preserve">Phòng </w:t>
            </w:r>
            <w:r w:rsidR="001223B6">
              <w:rPr>
                <w:sz w:val="22"/>
                <w:szCs w:val="22"/>
              </w:rPr>
              <w:t>Tư pháp;</w:t>
            </w:r>
          </w:p>
          <w:p w:rsidR="00CF44AD" w:rsidRDefault="00A90EE7">
            <w:pPr>
              <w:jc w:val="both"/>
              <w:rPr>
                <w:sz w:val="22"/>
                <w:szCs w:val="22"/>
              </w:rPr>
            </w:pPr>
            <w:r>
              <w:rPr>
                <w:sz w:val="22"/>
                <w:szCs w:val="22"/>
              </w:rPr>
              <w:t>- Thường trực HU</w:t>
            </w:r>
            <w:r w:rsidR="00290A09">
              <w:rPr>
                <w:sz w:val="22"/>
                <w:szCs w:val="22"/>
              </w:rPr>
              <w:t>; HĐND xã</w:t>
            </w:r>
          </w:p>
          <w:p w:rsidR="00CF44AD" w:rsidRDefault="00290A09">
            <w:pPr>
              <w:jc w:val="both"/>
              <w:rPr>
                <w:sz w:val="22"/>
                <w:szCs w:val="22"/>
              </w:rPr>
            </w:pPr>
            <w:r>
              <w:rPr>
                <w:sz w:val="22"/>
                <w:szCs w:val="22"/>
              </w:rPr>
              <w:t>- Chủ tịch, các PCT UBND xã</w:t>
            </w:r>
            <w:r w:rsidR="001223B6">
              <w:rPr>
                <w:sz w:val="22"/>
                <w:szCs w:val="22"/>
              </w:rPr>
              <w:t>;</w:t>
            </w:r>
          </w:p>
          <w:p w:rsidR="00CF44AD" w:rsidRDefault="00290A09">
            <w:pPr>
              <w:jc w:val="both"/>
              <w:rPr>
                <w:sz w:val="22"/>
                <w:szCs w:val="22"/>
              </w:rPr>
            </w:pPr>
            <w:r>
              <w:rPr>
                <w:sz w:val="22"/>
                <w:szCs w:val="22"/>
              </w:rPr>
              <w:t>- Ban Pháp chế - HĐND xã</w:t>
            </w:r>
            <w:r w:rsidR="001223B6">
              <w:rPr>
                <w:sz w:val="22"/>
                <w:szCs w:val="22"/>
              </w:rPr>
              <w:t>;</w:t>
            </w:r>
          </w:p>
          <w:p w:rsidR="00CF44AD" w:rsidRDefault="00290A09">
            <w:pPr>
              <w:jc w:val="both"/>
              <w:rPr>
                <w:sz w:val="22"/>
                <w:szCs w:val="22"/>
              </w:rPr>
            </w:pPr>
            <w:r>
              <w:rPr>
                <w:sz w:val="22"/>
                <w:szCs w:val="22"/>
              </w:rPr>
              <w:t>- Các ban, ngành, đoàn thể cấp xã</w:t>
            </w:r>
            <w:r w:rsidR="001223B6">
              <w:rPr>
                <w:sz w:val="22"/>
                <w:szCs w:val="22"/>
              </w:rPr>
              <w:t>;</w:t>
            </w:r>
          </w:p>
          <w:p w:rsidR="00CF44AD" w:rsidRDefault="00290A09">
            <w:pPr>
              <w:jc w:val="both"/>
              <w:rPr>
                <w:sz w:val="22"/>
                <w:szCs w:val="22"/>
              </w:rPr>
            </w:pPr>
            <w:r>
              <w:rPr>
                <w:sz w:val="22"/>
                <w:szCs w:val="22"/>
              </w:rPr>
              <w:t xml:space="preserve">- </w:t>
            </w:r>
            <w:r>
              <w:rPr>
                <w:sz w:val="22"/>
                <w:szCs w:val="22"/>
                <w:lang w:val="vi-VN"/>
              </w:rPr>
              <w:t>Các xóm, các trường học, trạm y tế</w:t>
            </w:r>
            <w:r w:rsidR="001223B6">
              <w:rPr>
                <w:sz w:val="22"/>
                <w:szCs w:val="22"/>
              </w:rPr>
              <w:t>;</w:t>
            </w:r>
          </w:p>
          <w:p w:rsidR="00CF44AD" w:rsidRDefault="001223B6">
            <w:pPr>
              <w:jc w:val="both"/>
              <w:rPr>
                <w:sz w:val="22"/>
                <w:szCs w:val="22"/>
              </w:rPr>
            </w:pPr>
            <w:r>
              <w:rPr>
                <w:sz w:val="22"/>
                <w:szCs w:val="22"/>
              </w:rPr>
              <w:t>- Lưu: VT, TP.</w:t>
            </w:r>
          </w:p>
          <w:p w:rsidR="00CF44AD" w:rsidRDefault="00CF44AD">
            <w:pPr>
              <w:jc w:val="both"/>
            </w:pPr>
          </w:p>
        </w:tc>
        <w:tc>
          <w:tcPr>
            <w:tcW w:w="4644" w:type="dxa"/>
          </w:tcPr>
          <w:p w:rsidR="00CF44AD" w:rsidRDefault="001223B6">
            <w:pPr>
              <w:jc w:val="center"/>
              <w:rPr>
                <w:b/>
                <w:sz w:val="26"/>
                <w:szCs w:val="26"/>
              </w:rPr>
            </w:pPr>
            <w:r>
              <w:rPr>
                <w:b/>
                <w:sz w:val="26"/>
                <w:szCs w:val="26"/>
              </w:rPr>
              <w:t>TM. ỦY BAN NHÂN DÂN</w:t>
            </w:r>
          </w:p>
          <w:p w:rsidR="00CF44AD" w:rsidRDefault="001223B6">
            <w:pPr>
              <w:jc w:val="center"/>
              <w:rPr>
                <w:b/>
                <w:sz w:val="26"/>
                <w:szCs w:val="26"/>
              </w:rPr>
            </w:pPr>
            <w:r>
              <w:rPr>
                <w:b/>
                <w:sz w:val="26"/>
                <w:szCs w:val="26"/>
              </w:rPr>
              <w:t>KT. CHỦ TỊCH</w:t>
            </w:r>
          </w:p>
          <w:p w:rsidR="00CF44AD" w:rsidRDefault="001223B6">
            <w:pPr>
              <w:jc w:val="center"/>
              <w:rPr>
                <w:b/>
                <w:sz w:val="26"/>
                <w:szCs w:val="26"/>
              </w:rPr>
            </w:pPr>
            <w:r>
              <w:rPr>
                <w:b/>
                <w:sz w:val="26"/>
                <w:szCs w:val="26"/>
              </w:rPr>
              <w:t>PHÓ CHỦ TỊCH</w:t>
            </w:r>
          </w:p>
          <w:p w:rsidR="00CF44AD" w:rsidRDefault="00CF44AD">
            <w:pPr>
              <w:jc w:val="center"/>
              <w:rPr>
                <w:b/>
                <w:sz w:val="26"/>
              </w:rPr>
            </w:pPr>
          </w:p>
          <w:p w:rsidR="00CF44AD" w:rsidRPr="00A90EE7" w:rsidRDefault="00CF44AD">
            <w:pPr>
              <w:jc w:val="center"/>
              <w:rPr>
                <w:b/>
                <w:sz w:val="34"/>
              </w:rPr>
            </w:pPr>
          </w:p>
          <w:p w:rsidR="00CF44AD" w:rsidRDefault="00CF44AD" w:rsidP="00417A82">
            <w:pPr>
              <w:rPr>
                <w:b/>
                <w:sz w:val="48"/>
              </w:rPr>
            </w:pPr>
          </w:p>
          <w:p w:rsidR="00CF44AD" w:rsidRDefault="00CF44AD">
            <w:pPr>
              <w:jc w:val="center"/>
              <w:rPr>
                <w:b/>
                <w:sz w:val="22"/>
              </w:rPr>
            </w:pPr>
          </w:p>
          <w:p w:rsidR="00CF44AD" w:rsidRPr="00290A09" w:rsidRDefault="001223B6" w:rsidP="00290A09">
            <w:pPr>
              <w:jc w:val="center"/>
              <w:rPr>
                <w:b/>
                <w:lang w:val="vi-VN"/>
              </w:rPr>
            </w:pPr>
            <w:r>
              <w:rPr>
                <w:b/>
              </w:rPr>
              <w:t xml:space="preserve">    </w:t>
            </w:r>
            <w:r w:rsidR="00290A09">
              <w:rPr>
                <w:b/>
                <w:lang w:val="vi-VN"/>
              </w:rPr>
              <w:t>Bùi Trọng Đỉnh</w:t>
            </w:r>
          </w:p>
        </w:tc>
      </w:tr>
    </w:tbl>
    <w:p w:rsidR="00CF44AD" w:rsidRDefault="001223B6">
      <w:pPr>
        <w:tabs>
          <w:tab w:val="left" w:pos="4113"/>
        </w:tabs>
        <w:spacing w:before="100" w:beforeAutospacing="1"/>
        <w:ind w:firstLine="720"/>
        <w:jc w:val="both"/>
      </w:pPr>
      <w:r>
        <w:tab/>
      </w:r>
    </w:p>
    <w:sectPr w:rsidR="00CF44AD">
      <w:headerReference w:type="default" r:id="rId6"/>
      <w:pgSz w:w="11907" w:h="16840" w:code="9"/>
      <w:pgMar w:top="1021" w:right="1077" w:bottom="1021" w:left="164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67A" w:rsidRDefault="00F1167A">
      <w:r>
        <w:separator/>
      </w:r>
    </w:p>
  </w:endnote>
  <w:endnote w:type="continuationSeparator" w:id="0">
    <w:p w:rsidR="00F1167A" w:rsidRDefault="00F1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67A" w:rsidRDefault="00F1167A">
      <w:r>
        <w:separator/>
      </w:r>
    </w:p>
  </w:footnote>
  <w:footnote w:type="continuationSeparator" w:id="0">
    <w:p w:rsidR="00F1167A" w:rsidRDefault="00F116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535500"/>
      <w:docPartObj>
        <w:docPartGallery w:val="Page Numbers (Top of Page)"/>
        <w:docPartUnique/>
      </w:docPartObj>
    </w:sdtPr>
    <w:sdtEndPr>
      <w:rPr>
        <w:noProof/>
        <w:sz w:val="26"/>
        <w:szCs w:val="26"/>
      </w:rPr>
    </w:sdtEndPr>
    <w:sdtContent>
      <w:p w:rsidR="00CF44AD" w:rsidRDefault="001223B6">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FF39CB">
          <w:rPr>
            <w:noProof/>
            <w:sz w:val="26"/>
            <w:szCs w:val="26"/>
          </w:rPr>
          <w:t>2</w:t>
        </w:r>
        <w:r>
          <w:rPr>
            <w:noProof/>
            <w:sz w:val="26"/>
            <w:szCs w:val="26"/>
          </w:rPr>
          <w:fldChar w:fldCharType="end"/>
        </w:r>
      </w:p>
    </w:sdtContent>
  </w:sdt>
  <w:p w:rsidR="00CF44AD" w:rsidRDefault="00CF44AD">
    <w:pPr>
      <w:pStyle w:val="Head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4AD"/>
    <w:rsid w:val="00096750"/>
    <w:rsid w:val="000B55BD"/>
    <w:rsid w:val="000C79B3"/>
    <w:rsid w:val="001153D1"/>
    <w:rsid w:val="001223B6"/>
    <w:rsid w:val="001330F1"/>
    <w:rsid w:val="0016315C"/>
    <w:rsid w:val="00290A09"/>
    <w:rsid w:val="002C49D7"/>
    <w:rsid w:val="00381622"/>
    <w:rsid w:val="00417A82"/>
    <w:rsid w:val="004C3A80"/>
    <w:rsid w:val="005361C3"/>
    <w:rsid w:val="00580771"/>
    <w:rsid w:val="005D79AB"/>
    <w:rsid w:val="005E5FA3"/>
    <w:rsid w:val="005F4E57"/>
    <w:rsid w:val="00787B17"/>
    <w:rsid w:val="00834EB2"/>
    <w:rsid w:val="008F0498"/>
    <w:rsid w:val="00A90EE7"/>
    <w:rsid w:val="00AC5A27"/>
    <w:rsid w:val="00AE4507"/>
    <w:rsid w:val="00C34A21"/>
    <w:rsid w:val="00CF44AD"/>
    <w:rsid w:val="00D13222"/>
    <w:rsid w:val="00D405C5"/>
    <w:rsid w:val="00D45C7B"/>
    <w:rsid w:val="00D747A4"/>
    <w:rsid w:val="00F1167A"/>
    <w:rsid w:val="00FB7D89"/>
    <w:rsid w:val="00FF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E0EFC"/>
  <w15:docId w15:val="{BAB755D6-39C5-4245-BD8D-0A7040FA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rPr>
      <w:rFonts w:eastAsia="Times New Roman" w:cs="Times New Roman"/>
      <w:szCs w:val="2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imes New Roman" w:cs="Times New Roman"/>
      <w:szCs w:val="28"/>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imes New Roman" w:cs="Times New Roman"/>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NC3</dc:creator>
  <cp:lastModifiedBy>a</cp:lastModifiedBy>
  <cp:revision>22</cp:revision>
  <dcterms:created xsi:type="dcterms:W3CDTF">2023-03-10T00:49:00Z</dcterms:created>
  <dcterms:modified xsi:type="dcterms:W3CDTF">2023-03-15T07:43:00Z</dcterms:modified>
</cp:coreProperties>
</file>